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E14" w:rsidRDefault="00B26E14" w:rsidP="00B26E14">
      <w:pPr>
        <w:pStyle w:val="AralkYok"/>
        <w:ind w:left="7788"/>
        <w:jc w:val="both"/>
        <w:rPr>
          <w:rFonts w:ascii="Times New Roman" w:hAnsi="Times New Roman" w:cs="Arial"/>
          <w:b/>
          <w:bCs/>
          <w:sz w:val="18"/>
          <w:szCs w:val="18"/>
          <w:lang w:eastAsia="tr-TR"/>
        </w:rPr>
      </w:pPr>
      <w:r>
        <w:rPr>
          <w:rFonts w:ascii="Times New Roman" w:hAnsi="Times New Roman" w:cs="Arial"/>
          <w:b/>
          <w:bCs/>
          <w:sz w:val="18"/>
          <w:szCs w:val="18"/>
          <w:lang w:eastAsia="tr-TR"/>
        </w:rPr>
        <w:t>EK-2/A-1</w:t>
      </w:r>
    </w:p>
    <w:p w:rsidR="00B26E14" w:rsidRDefault="00B26E14" w:rsidP="00B26E14">
      <w:pPr>
        <w:pStyle w:val="AralkYok"/>
        <w:jc w:val="both"/>
        <w:rPr>
          <w:rFonts w:ascii="Times New Roman" w:hAnsi="Times New Roman" w:cs="Arial"/>
          <w:b/>
          <w:bCs/>
          <w:sz w:val="18"/>
          <w:szCs w:val="18"/>
          <w:lang w:eastAsia="tr-TR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5"/>
        <w:gridCol w:w="812"/>
        <w:gridCol w:w="6795"/>
      </w:tblGrid>
      <w:tr w:rsidR="00B26E14" w:rsidRPr="003376E4" w:rsidTr="002313D7">
        <w:trPr>
          <w:trHeight w:val="523"/>
        </w:trPr>
        <w:tc>
          <w:tcPr>
            <w:tcW w:w="90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SAĞLIK HİZMETİ SUNUCULARININ AYAKTA TEDAVİLERDE SINIFLANDIRILMASI LİSTESİ</w:t>
            </w:r>
          </w:p>
        </w:tc>
      </w:tr>
      <w:tr w:rsidR="00B26E14" w:rsidRPr="003376E4" w:rsidTr="002313D7">
        <w:trPr>
          <w:trHeight w:val="480"/>
        </w:trPr>
        <w:tc>
          <w:tcPr>
            <w:tcW w:w="1465" w:type="dxa"/>
            <w:tcBorders>
              <w:top w:val="single" w:sz="4" w:space="0" w:color="auto"/>
            </w:tcBorders>
            <w:shd w:val="clear" w:color="000000" w:fill="BFBFBF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SINIFLANDIRMA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000000" w:fill="BFBFBF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KODU</w:t>
            </w:r>
          </w:p>
        </w:tc>
        <w:tc>
          <w:tcPr>
            <w:tcW w:w="6795" w:type="dxa"/>
            <w:tcBorders>
              <w:top w:val="single" w:sz="4" w:space="0" w:color="auto"/>
            </w:tcBorders>
            <w:shd w:val="clear" w:color="000000" w:fill="BFBFBF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AÇIKLAMA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 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ÖDM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Özel Dal Merkezi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ÖTM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Özel Tıp Merkezi 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KDM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Kamu kurumlarına ait olup Sağlık Bakanlığınca ruhsatlandırılmış olan dal merkezleri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KTM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Kamu kurumlarına ait olup Sağlık Bakanlığınca ruhsatlandırılmış olan tıp merkezleri 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679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Sağlık Bakanlığı tarafından Sağlık Bakanlığı yataklı sağlık tesisleri rollerinin yeniden belirlenmesi ve gruplandırılmasına ilişkin kriterlere göre belirlenen sağlık hizmeti sunucuları, Kamu kurumlarına ait olup Bakanlıkça ruhsatlandırılmış olan hastaneler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 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ÖH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102E3E">
            <w:pPr>
              <w:tabs>
                <w:tab w:val="left" w:pos="284"/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İkinci ve üçüncü basamak özel hastaneler </w:t>
            </w:r>
            <w:bookmarkStart w:id="0" w:name="_Hlk129697964"/>
            <w:r w:rsidR="00102E3E" w:rsidRPr="00102E3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(Mülga:</w:t>
            </w:r>
            <w:r w:rsidR="00A64FD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bookmarkStart w:id="1" w:name="_GoBack"/>
            <w:bookmarkEnd w:id="1"/>
            <w:r w:rsidR="00102E3E" w:rsidRPr="00102E3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RG-1</w:t>
            </w:r>
            <w:r w:rsidR="004D1C3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 w:rsidR="00102E3E" w:rsidRPr="00102E3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/03/2023-3213</w:t>
            </w:r>
            <w:r w:rsidR="000D6F3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102E3E" w:rsidRPr="00102E3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  <w:r w:rsidR="00102E3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40</w:t>
            </w:r>
            <w:r w:rsidR="00102E3E" w:rsidRPr="00102E3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02E3E" w:rsidRPr="00102E3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md.</w:t>
            </w:r>
            <w:proofErr w:type="spellEnd"/>
            <w:r w:rsidR="00102E3E" w:rsidRPr="00102E3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Yürürlük: 2</w:t>
            </w:r>
            <w:r w:rsidR="004D1C3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="00102E3E" w:rsidRPr="00102E3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/03/2023)</w:t>
            </w:r>
            <w:r w:rsidR="00102E3E" w:rsidRPr="00102E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bookmarkEnd w:id="0"/>
            <w:r w:rsidRPr="00102E3E">
              <w:rPr>
                <w:rFonts w:ascii="Times New Roman" w:eastAsia="Times New Roman" w:hAnsi="Times New Roman" w:cs="Times New Roman"/>
                <w:strike/>
                <w:color w:val="000000"/>
                <w:sz w:val="16"/>
                <w:szCs w:val="16"/>
              </w:rPr>
              <w:t xml:space="preserve">(vakıf yükseköğretim kurumlarıyla </w:t>
            </w:r>
            <w:proofErr w:type="gramStart"/>
            <w:r w:rsidRPr="00102E3E">
              <w:rPr>
                <w:rFonts w:ascii="Times New Roman" w:eastAsia="Times New Roman" w:hAnsi="Times New Roman" w:cs="Times New Roman"/>
                <w:strike/>
                <w:color w:val="000000"/>
                <w:sz w:val="16"/>
                <w:szCs w:val="16"/>
              </w:rPr>
              <w:t>işbirliği</w:t>
            </w:r>
            <w:proofErr w:type="gramEnd"/>
            <w:r w:rsidRPr="00102E3E">
              <w:rPr>
                <w:rFonts w:ascii="Times New Roman" w:eastAsia="Times New Roman" w:hAnsi="Times New Roman" w:cs="Times New Roman"/>
                <w:strike/>
                <w:color w:val="000000"/>
                <w:sz w:val="16"/>
                <w:szCs w:val="16"/>
              </w:rPr>
              <w:t xml:space="preserve"> protokolü bulunan özel hastaneler dahil)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679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Sağlık Bakanlığı tarafından Sağlık Bakanlığı yataklı sağlık tesisleri rollerinin yeniden belirlenmesi ve gruplandırılmasına ilişkin kriterlere göre belirlenen sağlık hizmeti sunucuları, Kamu kurumlarına ait olup Bakanlıkça ruhsatlandırılmış olan hastaneler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SINIF 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A2 Dal</w:t>
            </w:r>
          </w:p>
        </w:tc>
        <w:tc>
          <w:tcPr>
            <w:tcW w:w="6795" w:type="dxa"/>
            <w:vMerge w:val="restart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Sağlık Bakanlığı tarafından Sağlık Bakanlığı yataklı sağlık tesisleri rollerinin yeniden belirlenmesi ve gruplandırılmasına ilişkin kriterlere göre belirlenen sağlık hizmeti sunucuları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A2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A1 Dal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A1</w:t>
            </w:r>
          </w:p>
        </w:tc>
        <w:tc>
          <w:tcPr>
            <w:tcW w:w="679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U2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Tıp Fakülteleri Bulunan Vakıf Üniversiteleri Sağlık Uygulama ve Araştırma Merkezleri (Vakıf Üniversitesi Hastaneleri)</w:t>
            </w:r>
          </w:p>
        </w:tc>
      </w:tr>
      <w:tr w:rsidR="00B26E14" w:rsidRPr="003376E4" w:rsidTr="002313D7">
        <w:trPr>
          <w:trHeight w:val="305"/>
        </w:trPr>
        <w:tc>
          <w:tcPr>
            <w:tcW w:w="1465" w:type="dxa"/>
            <w:vMerge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U1</w:t>
            </w:r>
          </w:p>
        </w:tc>
        <w:tc>
          <w:tcPr>
            <w:tcW w:w="6795" w:type="dxa"/>
            <w:shd w:val="clear" w:color="auto" w:fill="auto"/>
            <w:vAlign w:val="center"/>
            <w:hideMark/>
          </w:tcPr>
          <w:p w:rsidR="00B26E14" w:rsidRPr="003376E4" w:rsidRDefault="00B26E14" w:rsidP="00231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76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Tıp Fakülteleri Bulunan Devlet Üniversiteleri Sağlık Uygulama ve Araştırma Merkezleri (Devlet Üniversitesi Hastaneleri)</w:t>
            </w:r>
          </w:p>
        </w:tc>
      </w:tr>
    </w:tbl>
    <w:p w:rsidR="00B26E14" w:rsidRDefault="00B26E14" w:rsidP="00B26E14">
      <w:pPr>
        <w:pStyle w:val="AralkYok"/>
        <w:jc w:val="both"/>
        <w:rPr>
          <w:rFonts w:ascii="Times New Roman" w:hAnsi="Times New Roman" w:cs="Arial"/>
          <w:b/>
          <w:bCs/>
          <w:sz w:val="18"/>
          <w:szCs w:val="18"/>
          <w:lang w:eastAsia="tr-TR"/>
        </w:rPr>
      </w:pPr>
    </w:p>
    <w:p w:rsidR="00B26E14" w:rsidRDefault="00B26E14"/>
    <w:sectPr w:rsidR="00B26E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FD8" w:rsidRDefault="00823FD8" w:rsidP="00484A78">
      <w:pPr>
        <w:spacing w:after="0" w:line="240" w:lineRule="auto"/>
      </w:pPr>
      <w:r>
        <w:separator/>
      </w:r>
    </w:p>
  </w:endnote>
  <w:endnote w:type="continuationSeparator" w:id="0">
    <w:p w:rsidR="00823FD8" w:rsidRDefault="00823FD8" w:rsidP="00484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FD8" w:rsidRDefault="00823FD8" w:rsidP="00484A78">
      <w:pPr>
        <w:spacing w:after="0" w:line="240" w:lineRule="auto"/>
      </w:pPr>
      <w:r>
        <w:separator/>
      </w:r>
    </w:p>
  </w:footnote>
  <w:footnote w:type="continuationSeparator" w:id="0">
    <w:p w:rsidR="00823FD8" w:rsidRDefault="00823FD8" w:rsidP="00484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78" w:rsidRPr="002F6905" w:rsidRDefault="00484A78">
    <w:pPr>
      <w:pStyle w:val="stBilgi"/>
      <w:rPr>
        <w:rFonts w:ascii="Times New Roman" w:hAnsi="Times New Roman" w:cs="Times New Roman"/>
        <w:sz w:val="18"/>
        <w:szCs w:val="18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14"/>
    <w:rsid w:val="000D6F37"/>
    <w:rsid w:val="00102E3E"/>
    <w:rsid w:val="002F6905"/>
    <w:rsid w:val="004570C9"/>
    <w:rsid w:val="00484A78"/>
    <w:rsid w:val="004D1C3A"/>
    <w:rsid w:val="006402A4"/>
    <w:rsid w:val="00823FD8"/>
    <w:rsid w:val="0085136B"/>
    <w:rsid w:val="00A64FDB"/>
    <w:rsid w:val="00B26E14"/>
    <w:rsid w:val="00BE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9EE6"/>
  <w15:chartTrackingRefBased/>
  <w15:docId w15:val="{3DAF52E2-6835-40FB-AA28-C5A4BDBE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6E14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B26E14"/>
    <w:pPr>
      <w:spacing w:after="0" w:line="240" w:lineRule="auto"/>
    </w:pPr>
    <w:rPr>
      <w:rFonts w:ascii="Calibri" w:eastAsia="Times New Roman" w:hAnsi="Calibri" w:cs="Calibri"/>
    </w:rPr>
  </w:style>
  <w:style w:type="paragraph" w:styleId="stBilgi">
    <w:name w:val="header"/>
    <w:basedOn w:val="Normal"/>
    <w:link w:val="stBilgiChar"/>
    <w:uiPriority w:val="99"/>
    <w:unhideWhenUsed/>
    <w:rsid w:val="00484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84A78"/>
  </w:style>
  <w:style w:type="paragraph" w:styleId="AltBilgi">
    <w:name w:val="footer"/>
    <w:basedOn w:val="Normal"/>
    <w:link w:val="AltBilgiChar"/>
    <w:uiPriority w:val="99"/>
    <w:unhideWhenUsed/>
    <w:rsid w:val="00484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84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SGK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LEYLI DENIZ YIGIT</dc:creator>
  <cp:keywords/>
  <dc:description/>
  <cp:lastModifiedBy>ACALYA SAGIROGLU</cp:lastModifiedBy>
  <cp:revision>5</cp:revision>
  <dcterms:created xsi:type="dcterms:W3CDTF">2023-03-16T06:45:00Z</dcterms:created>
  <dcterms:modified xsi:type="dcterms:W3CDTF">2023-03-17T09:30:00Z</dcterms:modified>
</cp:coreProperties>
</file>